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P68B1DB1-Title1"/>
      </w:pPr>
      <w:r>
        <w:t xml:space="preserve">RFC 1000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2"/>
      </w:pPr>
      <w:r>
        <w:t>无线射频收发器和中继器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0" w:left="600" w:right="460"/>
        </w:sectPr>
      </w:pPr>
    </w:p>
    <w:p>
      <w:pPr>
        <w:pStyle w:val="BodyText"/>
        <w:spacing w:before="4"/>
      </w:pPr>
    </w:p>
    <w:p>
      <w:pPr>
        <w:pStyle w:val="P68B1DB1-BodyText3"/>
        <w:spacing w:line="254" w:lineRule="auto"/>
        <w:ind w:left="112" w:right="106"/>
      </w:pPr>
      <w:r>
        <w:t xml:space="preserve">MadgeTech的RFC1000是一款功能强大的无线收发器，可与RFOT和2000 A系列数据记录器一起使用。</w:t>
      </w:r>
      <w:r>
        <w:t xml:space="preserve">RFC 1000可在4000英尺的室外/视线范围内传输到其他RFC 1000，典型的室内/城市1000英尺</w:t>
      </w:r>
      <w:r>
        <w:t xml:space="preserve">RFC 1000可将数据传输至室外2000英尺/视距内的数据记录仪，室内/市区通常为500英尺</w:t>
      </w:r>
      <w:r>
        <w:t xml:space="preserve">附加的RFC 1000可以用作中继器，以传输更远的距离或绕过障碍物。</w:t>
      </w:r>
    </w:p>
    <w:p>
      <w:pPr>
        <w:pStyle w:val="P68B1DB1-BodyText3"/>
        <w:spacing w:line="254" w:lineRule="auto" w:before="150"/>
        <w:ind w:left="112" w:right="74"/>
      </w:pPr>
      <w:r>
        <w:t>RFC1000设计用于在MadgeTech的双向无线数据记录仪和MadgeTech软件之间进行通信，最多可连接64个数据记录仪。</w:t>
      </w:r>
      <w:r>
        <w:t xml:space="preserve">通过使用软件和RFC 1000，远程数据记录仪可以无线启动、停止和下载。</w:t>
      </w:r>
      <w:r>
        <w:t>这种节省时间的功能简化了流程，以实现最高效率。</w:t>
      </w:r>
    </w:p>
    <w:p>
      <w:pPr>
        <w:pStyle w:val="P68B1DB1-BodyText3"/>
        <w:spacing w:line="254" w:lineRule="auto" w:before="150"/>
        <w:ind w:left="112" w:right="91"/>
      </w:pPr>
      <w:r>
        <w:t>RFC1000还包括一个外部天线，在安装位置的方向和接近金属壁的位置上都有更大的灵活性</w:t>
      </w:r>
      <w:r>
        <w:t>这可以用作中继器，或直接插入PC。</w:t>
      </w:r>
    </w:p>
    <w:p>
      <w:pPr>
        <w:pStyle w:val="BodyText"/>
        <w:rPr>
          <w:sz w:val="18"/>
        </w:rPr>
      </w:pPr>
      <w:r>
        <w:pict>
          <v:shape style="position:absolute;margin-left:36pt;margin-top:13.215092pt;width:354pt;height:.1pt;mso-position-horizontal-relative:page;mso-position-vertical-relative:paragraph;z-index:-15728640;mso-wrap-distance-left:0;mso-wrap-distance-right:0" coordorigin="720,264" coordsize="7080,0" path="m720,264l7800,264e" filled="false" stroked="true" strokeweight=".5pt" strokecolor="#818285">
            <v:path arrowok="t"/>
            <v:stroke dashstyle="solid"/>
            <w10:wrap type="topAndBottom"/>
          </v:shape>
        </w:pict>
      </w:r>
    </w:p>
    <w:p>
      <w:pPr>
        <w:spacing w:line="372" w:lineRule="exact" w:before="173"/>
        <w:ind w:left="131" w:right="0" w:firstLine="0"/>
        <w:jc w:val="left"/>
        <w:rPr>
          <w:sz w:val="32"/>
        </w:rPr>
        <w:pStyle w:val="P68B1DB1-Normal4"/>
      </w:pPr>
      <w:r>
        <w:t>规格</w:t>
      </w:r>
    </w:p>
    <w:p>
      <w:pPr>
        <w:spacing w:line="201" w:lineRule="exact" w:before="0"/>
        <w:ind w:left="131" w:right="0" w:firstLine="0"/>
        <w:jc w:val="left"/>
        <w:rPr>
          <w:sz w:val="18"/>
        </w:rPr>
        <w:pStyle w:val="P68B1DB1-Normal5"/>
      </w:pPr>
      <w:r>
        <w:t>规格如有变更，恕不另行通知。</w:t>
      </w:r>
      <w:r>
        <w:t>适用特定的保修补救限制</w:t>
      </w:r>
      <w:r>
        <w:t>呼叫</w:t>
      </w:r>
    </w:p>
    <w:p>
      <w:pPr>
        <w:spacing w:before="0"/>
        <w:ind w:left="131" w:right="0" w:firstLine="0"/>
        <w:jc w:val="left"/>
        <w:rPr>
          <w:sz w:val="18"/>
        </w:rPr>
        <w:pStyle w:val="P68B1DB1-Normal6"/>
      </w:pPr>
      <w:r>
        <w:rPr>
          <w:color w:val="231F20"/>
        </w:rPr>
        <w:t>(603)</w:t>
      </w:r>
      <w:r>
        <w:rPr>
          <w:color w:val="231F20"/>
        </w:rPr>
        <w:t>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2" w:type="dxa"/>
        <w:tblBorders>
          <w:top w:val="single" w:sz="2" w:space="0" w:color="818285"/>
          <w:left w:val="single" w:sz="2" w:space="0" w:color="818285"/>
          <w:bottom w:val="single" w:sz="2" w:space="0" w:color="818285"/>
          <w:right w:val="single" w:sz="2" w:space="0" w:color="818285"/>
          <w:insideH w:val="single" w:sz="2" w:space="0" w:color="818285"/>
          <w:insideV w:val="single" w:sz="2" w:space="0" w:color="81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5199"/>
      </w:tblGrid>
      <w:tr>
        <w:trPr>
          <w:trHeight w:val="431" w:hRule="atLeast"/>
        </w:trPr>
        <w:tc>
          <w:tcPr>
            <w:tcW w:w="1862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spacing w:before="129"/>
              <w:ind w:left="80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5199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235" w:lineRule="auto" w:before="42"/>
              <w:ind w:right="3654"/>
              <w:rPr>
                <w:sz w:val="15"/>
              </w:rPr>
            </w:pPr>
            <w:r>
              <w:t>外壳：ABS塑料电缆和天线：PVC</w:t>
            </w:r>
          </w:p>
        </w:tc>
      </w:tr>
      <w:tr>
        <w:trPr>
          <w:trHeight w:val="268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spacing w:before="47"/>
              <w:ind w:left="80"/>
              <w:rPr>
                <w:b/>
                <w:sz w:val="15"/>
              </w:rPr>
            </w:pPr>
            <w:r>
              <w:t>兼容数据记录器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before="47"/>
              <w:rPr>
                <w:sz w:val="15"/>
              </w:rPr>
            </w:pPr>
            <w:r>
              <w:t>RFOT和2000A系列</w:t>
            </w:r>
          </w:p>
        </w:tc>
      </w:tr>
      <w:tr>
        <w:trPr>
          <w:trHeight w:val="43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line="235" w:lineRule="auto" w:before="42"/>
              <w:ind w:left="80" w:right="324"/>
              <w:rPr>
                <w:b/>
                <w:sz w:val="15"/>
              </w:rPr>
            </w:pPr>
            <w:r>
              <w:t>传输距离（至数据记录仪）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无障碍视线（室外）：</w:t>
            </w:r>
            <w:r>
              <w:t>最大2，000英尺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典型城市环境（室内）：</w:t>
            </w:r>
            <w:r>
              <w:t>最大500英尺</w:t>
            </w:r>
          </w:p>
        </w:tc>
      </w:tr>
      <w:tr>
        <w:trPr>
          <w:trHeight w:val="1237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  <w:p>
            <w:pPr>
              <w:pStyle w:val="P68B1DB1-TableParagraph9"/>
              <w:spacing w:line="235" w:lineRule="auto" w:before="0"/>
              <w:ind w:left="80" w:right="324"/>
              <w:rPr>
                <w:b/>
                <w:sz w:val="15"/>
              </w:rPr>
            </w:pPr>
            <w:r>
              <w:t xml:space="preserve">传输距离（到其他RFC 1000）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235" w:lineRule="auto" w:before="42"/>
              <w:ind w:right="1461"/>
              <w:rPr>
                <w:sz w:val="15"/>
              </w:rPr>
            </w:pPr>
            <w:r>
              <w:rPr>
                <w:b/>
              </w:rPr>
              <w:t xml:space="preserve">RFC 1000：</w:t>
            </w:r>
            <w:r>
              <w:t>最大4，000英尺</w:t>
            </w:r>
            <w:r>
              <w:t>户外-视线不受阻碍，最大1,000英尺</w:t>
            </w:r>
            <w:r>
              <w:t>室内-典型的城市环境</w:t>
            </w:r>
          </w:p>
          <w:p>
            <w:pPr>
              <w:pStyle w:val="P68B1DB1-TableParagraph8"/>
              <w:spacing w:line="235" w:lineRule="auto" w:before="44"/>
              <w:ind w:right="1247"/>
              <w:rPr>
                <w:sz w:val="15"/>
              </w:rPr>
            </w:pPr>
            <w:r>
              <w:rPr>
                <w:b/>
              </w:rPr>
              <w:t xml:space="preserve">RFC 1000-CE：</w:t>
            </w:r>
            <w:r>
              <w:t>最大2，500英尺</w:t>
            </w:r>
            <w:r>
              <w:t>户外-视线无障碍最大700英尺</w:t>
            </w:r>
            <w:r>
              <w:t>室内-典型的城市环境</w:t>
            </w:r>
          </w:p>
          <w:p>
            <w:pPr>
              <w:pStyle w:val="P68B1DB1-TableParagraph8"/>
              <w:spacing w:line="235" w:lineRule="auto" w:before="44"/>
              <w:ind w:right="1041"/>
              <w:rPr>
                <w:sz w:val="15"/>
              </w:rPr>
            </w:pPr>
            <w:r>
              <w:rPr>
                <w:b/>
              </w:rPr>
              <w:t xml:space="preserve">RFC 1000-IP 69 K：</w:t>
            </w:r>
            <w:r>
              <w:t>最大4，000英尺</w:t>
            </w:r>
            <w:r>
              <w:rPr>
                <w:spacing w:val="-6"/>
              </w:rPr>
              <w:t xml:space="preserve"> </w:t>
            </w:r>
            <w:r>
              <w:t>户外</w:t>
            </w:r>
            <w:r>
              <w:t>-</w:t>
            </w:r>
            <w:r>
              <w:t>视线</w:t>
            </w:r>
            <w:r>
              <w:t>不受阻碍，最大</w:t>
            </w:r>
            <w:r>
              <w:rPr>
                <w:w w:val="105"/>
              </w:rPr>
              <w:t>1,000</w:t>
            </w:r>
            <w:r>
              <w:rPr>
                <w:w w:val="105"/>
              </w:rPr>
              <w:t>英尺</w:t>
            </w:r>
            <w:r>
              <w:rPr>
                <w:w w:val="105"/>
              </w:rPr>
              <w:t>。</w:t>
            </w:r>
            <w:r>
              <w:rPr>
                <w:w w:val="105"/>
              </w:rPr>
              <w:t>室内-典型的城市环境</w:t>
            </w:r>
          </w:p>
        </w:tc>
      </w:tr>
      <w:tr>
        <w:trPr>
          <w:trHeight w:val="25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>频率范围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 xml:space="preserve">2.405 GHz-2.475 GHz</w:t>
            </w:r>
          </w:p>
        </w:tc>
      </w:tr>
      <w:tr>
        <w:trPr>
          <w:trHeight w:val="25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>RFC灵敏度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 xml:space="preserve">-95 dBm典型值</w:t>
            </w:r>
          </w:p>
        </w:tc>
      </w:tr>
      <w:tr>
        <w:trPr>
          <w:trHeight w:val="43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before="129"/>
              <w:ind w:left="80"/>
              <w:rPr>
                <w:b/>
                <w:sz w:val="15"/>
              </w:rPr>
            </w:pPr>
            <w:r>
              <w:t>操作环境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外壳：</w:t>
            </w:r>
            <w:r>
              <w:t xml:space="preserve">-20 °C至+85 °C（-4 °F至+185 °F）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电源：</w:t>
            </w:r>
            <w:r>
              <w:t xml:space="preserve">0 °C至+40 °C（+32 °F至+104 °F）</w:t>
            </w:r>
          </w:p>
        </w:tc>
      </w:tr>
      <w:tr>
        <w:trPr>
          <w:trHeight w:val="43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spacing w:before="129"/>
              <w:ind w:left="80"/>
              <w:rPr>
                <w:b/>
                <w:sz w:val="15"/>
              </w:rPr>
            </w:pPr>
            <w:r>
              <w:t>尺寸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235" w:lineRule="auto" w:before="42"/>
              <w:ind w:right="1871"/>
              <w:rPr>
                <w:sz w:val="15"/>
              </w:rPr>
            </w:pPr>
            <w:r>
              <w:t xml:space="preserve">3.79英寸x 1.57英寸x 0.81英寸（96.3 mm x 39.9 mm x 21 mm）天线总高度：8.03英寸（204.0 mm）</w:t>
            </w:r>
          </w:p>
        </w:tc>
      </w:tr>
      <w:tr>
        <w:trPr>
          <w:trHeight w:val="25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ind w:left="80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>5.5盎司（156克）</w:t>
            </w:r>
          </w:p>
        </w:tc>
      </w:tr>
      <w:tr>
        <w:trPr>
          <w:trHeight w:val="251" w:hRule="atLeast"/>
        </w:trPr>
        <w:tc>
          <w:tcPr>
            <w:tcW w:w="1862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>批准</w:t>
            </w:r>
          </w:p>
        </w:tc>
        <w:tc>
          <w:tcPr>
            <w:tcW w:w="519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>US（FCC），CA（IC）</w:t>
            </w:r>
          </w:p>
        </w:tc>
      </w:tr>
    </w:tbl>
    <w:p>
      <w:pPr>
        <w:pStyle w:val="P68B1DB1-Heading110"/>
        <w:spacing w:before="156"/>
        <w:ind w:left="119"/>
      </w:pPr>
      <w:r>
        <w:t>订购信息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rPr>
          <w:sz w:val="36"/>
        </w:rPr>
      </w:pPr>
    </w:p>
    <w:p>
      <w:pPr>
        <w:spacing w:before="263"/>
        <w:ind w:left="112" w:right="0" w:firstLine="0"/>
        <w:jc w:val="left"/>
        <w:rPr>
          <w:sz w:val="26"/>
        </w:rPr>
        <w:pStyle w:val="P68B1DB1-Normal11"/>
      </w:pPr>
      <w:r>
        <w:t>特征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76" w:lineRule="auto" w:before="110" w:after="0"/>
        <w:ind w:left="292" w:right="731" w:hanging="180"/>
        <w:jc w:val="left"/>
        <w:rPr>
          <w:sz w:val="20"/>
        </w:rPr>
      </w:pPr>
      <w:r>
        <w:t>同时作为中继器和收发器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3" w:lineRule="exact" w:before="0" w:after="0"/>
        <w:ind w:left="292" w:right="0" w:hanging="181"/>
        <w:jc w:val="left"/>
        <w:rPr>
          <w:sz w:val="20"/>
        </w:rPr>
      </w:pPr>
      <w:r>
        <w:t>绿色和红色LED指示灯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76" w:lineRule="auto" w:before="35" w:after="0"/>
        <w:ind w:left="292" w:right="556" w:hanging="180"/>
        <w:jc w:val="left"/>
        <w:rPr>
          <w:sz w:val="20"/>
        </w:rPr>
      </w:pPr>
      <w:r>
        <w:t>与MadgeTech的RFOT和2000A系列数据记录器兼容</w:t>
      </w:r>
    </w:p>
    <w:p>
      <w:pPr>
        <w:pStyle w:val="BodyText"/>
        <w:rPr>
          <w:sz w:val="19"/>
        </w:rPr>
      </w:pPr>
    </w:p>
    <w:p>
      <w:pPr>
        <w:pStyle w:val="P68B1DB1-Heading110"/>
      </w:pPr>
      <w:r>
        <w:t>应用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110" w:after="0"/>
        <w:ind w:left="292" w:right="0" w:hanging="181"/>
        <w:jc w:val="left"/>
        <w:rPr>
          <w:sz w:val="20"/>
        </w:rPr>
      </w:pPr>
      <w:r>
        <w:t>实时数据记录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5" w:after="0"/>
        <w:ind w:left="292" w:right="0" w:hanging="181"/>
        <w:jc w:val="left"/>
        <w:rPr>
          <w:sz w:val="20"/>
        </w:rPr>
      </w:pPr>
      <w:r>
        <w:t>肉类烹饪和冷却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肉类储存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烟屋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食品加工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医疗储藏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实验室监测</w:t>
      </w:r>
    </w:p>
    <w:p>
      <w:pPr>
        <w:pStyle w:val="P68B1DB1-ListParagraph14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血库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5" w:after="0"/>
        <w:ind w:left="292" w:right="0" w:hanging="181"/>
        <w:jc w:val="left"/>
        <w:rPr>
          <w:sz w:val="20"/>
        </w:rPr>
      </w:pPr>
      <w:r>
        <w:t>医院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仓库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0" w:left="600" w:right="460"/>
          <w:cols w:num="2" w:equalWidth="0">
            <w:col w:w="7231" w:space="216"/>
            <w:col w:w="3733"/>
          </w:cols>
        </w:sectPr>
      </w:pPr>
    </w:p>
    <w:p>
      <w:pPr>
        <w:pStyle w:val="BodyText"/>
        <w:spacing w:before="2"/>
        <w:rPr>
          <w:sz w:val="8"/>
        </w:rPr>
      </w:pPr>
      <w:r>
        <w:pict>
          <v:group style="position:absolute;margin-left:0pt;margin-top:0pt;width:612pt;height:202.65pt;mso-position-horizontal-relative:page;mso-position-vertical-relative:page;z-index:-15823872" coordorigin="0,0" coordsize="12240,4053">
            <v:rect style="position:absolute;left:0;top:1096;width:12240;height:1978" filled="true" fillcolor="#818285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3l1127,370,961,578,1127,578,1242,723,1404,723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9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8,2586,839,2583,827,2583,827,2583,878,2545,878,2574,839,2583,878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8,2763,839,2760,827,2760,827,2760,878,2722,878,2751,839,2760,878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5,857,3051,873,3055,890,3064,901,3078,908,3096,910,3108,910,3121,908,3132,864,3099,864,3096,874,3116,874,3110,899,3107,900,3098,900,3085,898,3075,893,3068,885,3066,873,3069,859,3077,847,3090,839,3109,836,3120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5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9282;top:175;width:2739;height:3669" type="#_x0000_t75" stroked="false">
              <v:imagedata r:id="rId5" o:title=""/>
            </v:shape>
            <w10:wrap type="none"/>
          </v:group>
        </w:pict>
      </w: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51" w:hRule="atLeast"/>
        </w:trPr>
        <w:tc>
          <w:tcPr>
            <w:tcW w:w="1884" w:type="dxa"/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</w:tcPr>
          <w:p>
            <w:pPr>
              <w:pStyle w:val="P68B1DB1-TableParagraph15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</w:tcPr>
          <w:p>
            <w:pPr>
              <w:pStyle w:val="P68B1DB1-TableParagraph8"/>
              <w:rPr>
                <w:sz w:val="15"/>
              </w:rPr>
            </w:pPr>
            <w:r>
              <w:t>无线射频收发器/中继器。</w:t>
            </w:r>
            <w:r>
              <w:t>包括USB转迷你USB适配器和通用电源</w:t>
            </w:r>
          </w:p>
        </w:tc>
      </w:tr>
      <w:tr>
        <w:trPr>
          <w:trHeight w:val="251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 xml:space="preserve">PN 901388-00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>无线射频收发器/中继器，欧洲CE认证</w:t>
            </w:r>
            <w:r>
              <w:t>包括USB到迷你USB适配器和通用电源</w:t>
            </w:r>
          </w:p>
        </w:tc>
      </w:tr>
      <w:tr>
        <w:trPr>
          <w:trHeight w:val="251" w:hRule="atLeast"/>
        </w:trPr>
        <w:tc>
          <w:tcPr>
            <w:tcW w:w="1884" w:type="dxa"/>
          </w:tcPr>
          <w:p>
            <w:pPr>
              <w:pStyle w:val="P68B1DB1-TableParagraph9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</w:tcPr>
          <w:p>
            <w:pPr>
              <w:pStyle w:val="P68B1DB1-TableParagraph15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</w:tcPr>
          <w:p>
            <w:pPr>
              <w:pStyle w:val="P68B1DB1-TableParagraph8"/>
              <w:rPr>
                <w:sz w:val="15"/>
              </w:rPr>
            </w:pPr>
            <w:r>
              <w:t xml:space="preserve">防溅，IP 69 K等级，无线射频收发器/中继器。</w:t>
            </w:r>
            <w:r>
              <w:t>包括USB到迷你USB适配器和通用电源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93"/>
        <w:ind w:left="128" w:right="0" w:firstLine="0"/>
        <w:jc w:val="left"/>
        <w:rPr>
          <w:rFonts w:ascii="Arial" w:hAnsi="Arial"/>
          <w:sz w:val="24"/>
        </w:rPr>
        <w:pStyle w:val="P68B1DB1-Normal16"/>
      </w:pPr>
      <w:r>
        <w:t xml:space="preserve">■电话：+86 755-8420 0058 ■传真：+86 755-2822 5583 ■</w:t>
      </w:r>
      <w:hyperlink r:id="rId6">
        <w:r>
          <w:t>E-mail:sales@eofirm.com</w:t>
        </w:r>
      </w:hyperlink>
      <w:r>
        <w:t xml:space="preserve"> ■</w:t>
      </w:r>
      <w:hyperlink r:id="rId7">
        <w:r>
          <w:t>http://www.eofirm.com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10"/>
        </w:rPr>
      </w:pPr>
      <w:r>
        <w:pict>
          <v:group style="position:absolute;margin-left:36.109001pt;margin-top:8.149511pt;width:143.9pt;height:25.25pt;mso-position-horizontal-relative:page;mso-position-vertical-relative:paragraph;z-index:-15728128;mso-wrap-distance-left:0;mso-wrap-distance-right:0" coordorigin="722,163" coordsize="2878,505">
            <v:shape style="position:absolute;left:982;top:163;width:2618;height:330" coordorigin="982,163" coordsize="2618,330" path="m1433,493l1151,163,982,357,1151,357,1268,493,1433,493xm1846,214l1753,214,1676,366,1672,214,1580,214,1525,446,1583,446,1625,264,1632,446,1684,446,1777,266,1733,446,1790,446,1846,214xm2028,446l2023,407,2019,371,2010,290,2005,248,1971,248,1971,371,1918,371,1966,290,1971,371,1971,248,1946,248,1818,446,1873,446,1896,407,1974,407,1976,446,2028,446xm2266,326l2265,309,2259,288,2257,286,2244,268,2218,254,2212,252,2212,316,2212,327,2209,353,2200,374,2188,390,2176,400,2166,405,2155,407,2144,408,2133,408,2110,408,2140,286,2166,286,2189,287,2199,295,2211,304,2212,316,2212,252,2206,251,2195,249,2185,248,2176,248,2098,248,2050,446,2119,446,2148,446,2175,443,2201,435,2225,421,2237,408,2243,402,2256,379,2263,353,2266,326xm2501,298l2498,289,2495,280,2485,269,2472,259,2455,251,2435,245,2410,243,2356,254,2320,284,2299,322,2292,362,2301,404,2321,431,2349,447,2379,452,2398,450,2413,444,2424,437,2432,430,2428,447,2475,447,2501,339,2409,339,2399,377,2444,377,2439,389,2435,398,2415,411,2405,414,2386,414,2378,412,2371,408,2360,399,2354,388,2350,375,2349,361,2352,334,2364,308,2383,289,2410,282,2415,282,2424,282,2446,294,2451,311,2501,298xm2716,248l2564,248,2516,446,2683,446,2692,409,2577,409,2589,361,2685,361,2694,324,2597,324,2606,286,2707,286,2716,248xm2969,214l2775,214,2763,259,2831,259,2786,446,2848,446,2893,259,2957,259,2969,214xm3149,248l2997,248,2949,446,3116,446,3125,409,3010,409,3022,361,3118,361,3127,324,3030,324,3040,286,3139,286,3149,248xm3365,299l3357,278,3347,269,3334,258,3317,250,3297,245,3276,243,3225,254,3189,282,3168,319,3161,360,3170,402,3192,431,3223,446,3256,451,3289,446,3315,434,3333,419,3347,401,3351,394,3307,371,3296,393,3275,407,3266,410,3257,410,3243,408,3230,399,3221,383,3217,359,3221,331,3233,306,3252,288,3277,282,3294,285,3305,293,3312,302,3315,310,3365,299xm3600,248l3548,248,3530,320,3452,320,3469,248,3417,248,3369,446,3421,446,3442,358,3521,358,3500,446,3552,446,3600,248xe" filled="true" fillcolor="#002a5c" stroked="false">
              <v:path arrowok="t"/>
              <v:fill type="solid"/>
            </v:shape>
            <v:shape style="position:absolute;left:722;top:397;width:858;height:268" coordorigin="722,398" coordsize="858,268" path="m1115,398l954,398,722,666,1580,666,1467,533,1233,533,1115,398xe" filled="true" fillcolor="#e12726" stroked="false">
              <v:path arrowok="t"/>
              <v:fill type="solid"/>
            </v:shape>
            <v:shape style="position:absolute;left:1524;top:495;width:2055;height:172" coordorigin="1525,495" coordsize="2055,172" path="m1819,589l1804,589,1762,655,1762,655,1759,589,1741,589,1703,655,1702,655,1697,589,1683,589,1691,666,1709,666,1748,599,1748,599,1750,666,1768,666,1819,589xm1897,589l1844,589,1823,666,1877,666,1880,656,1839,656,1846,631,1883,631,1885,621,1849,621,1856,599,1894,599,1897,589xm2035,594l2023,589,2021,589,2021,618,2009,622,1986,622,1992,598,2011,598,2021,599,2021,618,2021,589,1981,589,1960,666,1991,666,2009,663,2021,658,2023,657,2028,650,2030,642,2030,634,2027,631,2026,629,2016,626,2016,654,2003,657,1976,657,1983,631,2006,631,2015,633,2016,654,2016,626,2015,626,2015,626,2026,624,2029,622,2035,618,2035,598,2035,594xm2151,589l2137,589,2127,628,2123,638,2118,647,2110,655,2097,657,2085,657,2076,652,2076,640,2076,638,2089,589,2076,589,2064,632,2062,639,2062,644,2063,651,2069,659,2079,665,2096,667,2111,665,2123,659,2132,649,2139,634,2151,589xm2200,589l2186,589,2165,666,2179,666,2200,589xm2271,656l2231,656,2249,589,2235,589,2214,666,2268,666,2271,656xm2385,620l2382,608,2374,599,2374,598,2370,597,2370,621,2367,635,2358,646,2344,654,2326,656,2311,656,2326,599,2335,599,2352,600,2363,605,2369,612,2370,621,2370,597,2358,591,2336,589,2315,589,2294,666,2323,666,2350,662,2363,656,2369,653,2381,639,2385,620xm2545,620l2542,608,2534,599,2533,598,2530,597,2530,621,2527,635,2518,646,2504,654,2486,656,2471,656,2486,599,2494,599,2512,600,2523,605,2528,612,2530,621,2530,597,2518,591,2496,589,2475,589,2454,666,2483,666,2510,662,2523,656,2529,653,2541,639,2545,620xm2653,666l2647,646,2645,637,2635,601,2631,589,2631,589,2631,637,2593,637,2622,601,2631,637,2631,589,2618,589,2555,666,2570,666,2586,646,2633,646,2638,666,2653,666xm2749,589l2675,589,2672,599,2702,599,2684,666,2698,666,2716,599,2747,599,2749,589xm2833,666l2828,646,2825,637,2815,601,2812,589,2812,589,2812,637,2773,637,2803,601,2812,637,2812,589,2798,589,2735,666,2751,666,2766,646,2814,646,2819,666,2833,666xm2962,656l2921,656,2940,589,2925,589,2905,666,2959,666,2962,656xm3083,618l3081,606,3074,597,3073,596,3069,594,3069,606,3069,621,3066,633,3059,645,3047,654,3031,657,3013,657,3004,649,3004,635,3007,621,3015,609,3028,600,3044,597,3060,597,3069,606,3069,594,3061,590,3044,588,3021,592,3003,603,2993,618,2989,635,2992,649,3000,659,3013,665,3030,667,3053,663,3062,657,3070,652,3080,637,3083,620,3083,618xm3196,592l3189,590,3181,588,3166,588,3139,592,3121,603,3111,617,3108,632,3111,648,3121,659,3135,665,3153,667,3165,667,3179,665,3190,624,3156,624,3153,633,3174,633,3167,656,3164,657,3156,657,3143,656,3132,651,3125,643,3123,633,3125,619,3133,608,3147,600,3166,597,3177,597,3186,599,3192,602,3196,592xm3307,592l3300,590,3291,588,3277,588,3250,592,3232,603,3222,617,3219,632,3222,648,3232,659,3246,665,3264,667,3276,667,3289,665,3301,624,3267,624,3264,633,3284,633,3278,656,3275,657,3266,657,3253,656,3243,651,3236,643,3233,633,3236,619,3244,608,3258,600,3277,597,3288,597,3297,599,3302,602,3307,592xm3399,589l3346,589,3325,666,3380,666,3382,656,3342,656,3349,631,3385,631,3387,621,3351,621,3358,599,3396,599,3399,589xm3489,608l3485,599,3485,597,3476,591,3474,591,3474,601,3474,619,3459,622,3438,622,3445,599,3468,599,3474,601,3474,591,3464,589,3452,589,3433,589,3413,666,3426,666,3435,632,3455,632,3457,633,3461,646,3467,666,3482,666,3474,644,3472,632,3471,632,3465,628,3478,627,3484,622,3489,618,3489,608xm3573,591l3565,589,3557,588,3533,588,3517,596,3517,610,3522,622,3534,629,3545,635,3550,644,3550,650,3544,657,3522,657,3515,655,3509,653,3504,663,3512,665,3520,667,3531,667,3547,665,3557,659,3563,651,3565,642,3560,631,3548,623,3537,617,3532,609,3532,600,3542,597,3551,597,3558,597,3564,599,3569,601,3573,591xm3579,495l1525,495,1525,530,3579,530,3579,495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2240" w:h="15840"/>
      <w:pgMar w:top="0" w:bottom="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92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39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color w:val="002A5C"/>
      <w:w w:val="105"/>
      <w:sz w:val="32"/>
    </w:rPr>
  </w:style>
  <w:style w:type="paragraph" w:styleId="P68B1DB1-Normal5">
    <w:name w:val="P68B1DB1-Normal5"/>
    <w:basedOn w:val="Normal"/>
    <w:rPr>
      <w:color w:val="231F20"/>
      <w:sz w:val="18"/>
    </w:rPr>
  </w:style>
  <w:style w:type="paragraph" w:styleId="P68B1DB1-Normal6">
    <w:name w:val="P68B1DB1-Normal6"/>
    <w:basedOn w:val="Normal"/>
    <w:rPr>
      <w:sz w:val="18"/>
    </w:rPr>
  </w:style>
  <w:style w:type="paragraph" w:styleId="P68B1DB1-TableParagraph7">
    <w:name w:val="P68B1DB1-TableParagraph7"/>
    <w:basedOn w:val="TableParagraph"/>
    <w:rPr>
      <w:b/>
      <w:color w:val="231F20"/>
      <w:sz w:val="15"/>
    </w:rPr>
  </w:style>
  <w:style w:type="paragraph" w:styleId="P68B1DB1-TableParagraph8">
    <w:name w:val="P68B1DB1-TableParagraph8"/>
    <w:basedOn w:val="TableParagraph"/>
    <w:rPr>
      <w:color w:val="231F20"/>
      <w:sz w:val="15"/>
    </w:rPr>
  </w:style>
  <w:style w:type="paragraph" w:styleId="P68B1DB1-TableParagraph9">
    <w:name w:val="P68B1DB1-TableParagraph9"/>
    <w:basedOn w:val="TableParagraph"/>
    <w:rPr>
      <w:b/>
      <w:color w:val="231F20"/>
      <w:w w:val="105"/>
      <w:sz w:val="15"/>
    </w:rPr>
  </w:style>
  <w:style w:type="paragraph" w:styleId="P68B1DB1-Heading110">
    <w:name w:val="P68B1DB1-Heading110"/>
    <w:basedOn w:val="Heading1"/>
    <w:rPr>
      <w:color w:val="002A5C"/>
      <w:w w:val="105"/>
    </w:rPr>
  </w:style>
  <w:style w:type="paragraph" w:styleId="P68B1DB1-Normal11">
    <w:name w:val="P68B1DB1-Normal11"/>
    <w:basedOn w:val="Normal"/>
    <w:rPr>
      <w:color w:val="002A5C"/>
      <w:w w:val="110"/>
      <w:sz w:val="26"/>
    </w:rPr>
  </w:style>
  <w:style w:type="paragraph" w:styleId="P68B1DB1-ListParagraph12">
    <w:name w:val="P68B1DB1-ListParagraph12"/>
    <w:basedOn w:val="ListParagraph"/>
    <w:rPr>
      <w:color w:val="414042"/>
      <w:sz w:val="20"/>
    </w:rPr>
  </w:style>
  <w:style w:type="paragraph" w:styleId="P68B1DB1-ListParagraph13">
    <w:name w:val="P68B1DB1-ListParagraph13"/>
    <w:basedOn w:val="ListParagraph"/>
    <w:rPr>
      <w:color w:val="414042"/>
      <w:w w:val="95"/>
      <w:sz w:val="20"/>
    </w:rPr>
  </w:style>
  <w:style w:type="paragraph" w:styleId="P68B1DB1-ListParagraph14">
    <w:name w:val="P68B1DB1-ListParagraph14"/>
    <w:basedOn w:val="ListParagraph"/>
    <w:rPr>
      <w:color w:val="414042"/>
      <w:w w:val="105"/>
      <w:sz w:val="20"/>
    </w:rPr>
  </w:style>
  <w:style w:type="paragraph" w:styleId="P68B1DB1-TableParagraph15">
    <w:name w:val="P68B1DB1-TableParagraph15"/>
    <w:basedOn w:val="TableParagraph"/>
    <w:rPr>
      <w:color w:val="231F20"/>
      <w:w w:val="95"/>
      <w:sz w:val="15"/>
    </w:rPr>
  </w:style>
  <w:style w:type="paragraph" w:styleId="P68B1DB1-Normal16">
    <w:name w:val="P68B1DB1-Normal16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eofirm.com" TargetMode="External"/><Relationship Id="rId7" Type="http://schemas.openxmlformats.org/officeDocument/2006/relationships/hyperlink" Target="http://www.eofirm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2024-10-29T07:17:03Z</dcterms:created>
  <dcterms:modified xsi:type="dcterms:W3CDTF">2024-10-29T07:17:03Z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2024-10-29T00:00:00Z</vt:filetime>
  </property>
</Properties>
</file>